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5E010" w14:textId="468679E6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D45BDE"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r w:rsidR="00CB7310" w:rsidRPr="00CB7310">
        <w:rPr>
          <w:rFonts w:ascii="Arial" w:hAnsi="Arial" w:cs="Arial"/>
          <w:b/>
          <w:sz w:val="24"/>
        </w:rPr>
        <w:t>R1-1712783</w:t>
      </w:r>
      <w:bookmarkStart w:id="0" w:name="_GoBack"/>
      <w:bookmarkEnd w:id="0"/>
    </w:p>
    <w:p w14:paraId="13C19C48" w14:textId="2BDFE6D7" w:rsidR="00FD45CD" w:rsidRPr="00DA12F7" w:rsidRDefault="00D45BDE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Pr="00CB7310"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9D0649">
        <w:rPr>
          <w:rFonts w:ascii="Arial" w:hAnsi="Arial" w:cs="Arial"/>
          <w:b/>
          <w:sz w:val="24"/>
          <w:szCs w:val="24"/>
        </w:rPr>
        <w:t xml:space="preserve"> </w:t>
      </w:r>
      <w:r w:rsidR="00485E94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25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D14560">
        <w:rPr>
          <w:rFonts w:ascii="Arial" w:hAnsi="Arial" w:cs="Arial"/>
          <w:b/>
          <w:sz w:val="24"/>
          <w:szCs w:val="24"/>
        </w:rPr>
        <w:t>7</w:t>
      </w:r>
    </w:p>
    <w:p w14:paraId="0595412A" w14:textId="7F74164A" w:rsidR="00FD45CD" w:rsidRPr="00DA12F7" w:rsidRDefault="00D45BDE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 w:rsidR="009D0649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B1155AC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D45BDE">
        <w:rPr>
          <w:rFonts w:ascii="Arial" w:hAnsi="Arial"/>
          <w:sz w:val="24"/>
        </w:rPr>
        <w:t>5</w:t>
      </w:r>
      <w:r w:rsidR="00D14560">
        <w:rPr>
          <w:rFonts w:ascii="Arial" w:hAnsi="Arial"/>
          <w:sz w:val="24"/>
        </w:rPr>
        <w:t>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D96D32">
        <w:rPr>
          <w:rFonts w:ascii="Arial" w:hAnsi="Arial"/>
          <w:sz w:val="24"/>
        </w:rPr>
        <w:t>1</w:t>
      </w:r>
      <w:r w:rsidR="00155BCB">
        <w:rPr>
          <w:rFonts w:ascii="Arial" w:hAnsi="Arial"/>
          <w:sz w:val="24"/>
        </w:rPr>
        <w:t>.</w:t>
      </w:r>
      <w:r w:rsidR="00FD6840">
        <w:rPr>
          <w:rFonts w:ascii="Arial" w:hAnsi="Arial"/>
          <w:sz w:val="24"/>
        </w:rPr>
        <w:t>2.3.</w:t>
      </w:r>
      <w:r w:rsidR="009E65A8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5D9536D5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D45BDE">
        <w:rPr>
          <w:rFonts w:ascii="Arial" w:hAnsi="Arial"/>
          <w:sz w:val="24"/>
        </w:rPr>
        <w:t>s</w:t>
      </w:r>
      <w:r w:rsidR="00FD6840">
        <w:rPr>
          <w:rFonts w:ascii="Arial" w:hAnsi="Arial"/>
          <w:sz w:val="24"/>
        </w:rPr>
        <w:t xml:space="preserve">PUCCH Resource Management </w:t>
      </w:r>
      <w:r w:rsidR="00A20EB0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306F8EB" w14:textId="7E7B519F" w:rsidR="00B52E2D" w:rsidRDefault="004D081D" w:rsidP="00A33547">
      <w:pPr>
        <w:jc w:val="both"/>
      </w:pPr>
      <w:r>
        <w:t>For</w:t>
      </w:r>
      <w:r w:rsidR="00A33547">
        <w:t xml:space="preserve"> both 2-symbol and 1-slot low latency operations, two types of sPUCCH is required: (1) for small payload sizes, and (2) for large payload sizes. </w:t>
      </w:r>
      <w:r w:rsidR="00B52E2D">
        <w:t xml:space="preserve">Hence, in addition to the legacy PUCCH, four types of sPUCCH </w:t>
      </w:r>
      <w:r w:rsidR="00D45BDE">
        <w:t xml:space="preserve">may </w:t>
      </w:r>
      <w:r w:rsidR="00B52E2D">
        <w:t>be transmitted within each subframe. Hence, the resources should be assigned to different sTTI lengths and different sPUCCH types</w:t>
      </w:r>
      <w:r>
        <w:t>,</w:t>
      </w:r>
      <w:r w:rsidR="00B52E2D">
        <w:t xml:space="preserve"> accordingly.</w:t>
      </w:r>
    </w:p>
    <w:p w14:paraId="595E7A75" w14:textId="287074DC" w:rsidR="00A33547" w:rsidRPr="00B52E2D" w:rsidRDefault="00B52E2D" w:rsidP="00F30894">
      <w:pPr>
        <w:jc w:val="both"/>
      </w:pPr>
      <w:r>
        <w:t xml:space="preserve">In this paper, we discuss how this task can be accomplished. 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2CB61F44" w14:textId="77777777" w:rsidR="00D35356" w:rsidRDefault="00DE1BAA" w:rsidP="00E604CF">
      <w:pPr>
        <w:jc w:val="both"/>
      </w:pPr>
      <w:r>
        <w:t>In the legacy LTE systems, the PUCCH resources are located</w:t>
      </w:r>
      <w:r w:rsidR="00F341BB">
        <w:t xml:space="preserve"> at</w:t>
      </w:r>
      <w:r>
        <w:t xml:space="preserve"> the two edges of the available band</w:t>
      </w:r>
      <w:r w:rsidR="00F341BB">
        <w:t xml:space="preserve">width. Different PUCCH formats are assigned with different resources, and are placed next to each other. </w:t>
      </w:r>
      <w:r w:rsidR="00D35356">
        <w:t>In the presence of sTTI traffic</w:t>
      </w:r>
      <w:r w:rsidR="00F341BB">
        <w:t>, it is important to assign some resources to different types of sPUCCH formats. In addition, since both 2-symbol and 1-slot sTTIs can be adopted, their sPUCCH resources should be separated.</w:t>
      </w:r>
      <w:r w:rsidR="00D35356">
        <w:t xml:space="preserve"> The resources next to the legacy LTE PUCCH resources on both sides of the bandwidth can be reserved for sPUCCH transmission. </w:t>
      </w:r>
    </w:p>
    <w:p w14:paraId="0E0BC89D" w14:textId="7F6C983E" w:rsidR="00D35356" w:rsidRPr="004D081D" w:rsidRDefault="00892E7A" w:rsidP="00E604CF">
      <w:pPr>
        <w:jc w:val="both"/>
        <w:rPr>
          <w:b/>
        </w:rPr>
      </w:pPr>
      <w:r>
        <w:rPr>
          <w:b/>
        </w:rPr>
        <w:t>Observation</w:t>
      </w:r>
      <w:r w:rsidR="00D35356" w:rsidRPr="004D081D">
        <w:rPr>
          <w:b/>
        </w:rPr>
        <w:t>:</w:t>
      </w:r>
      <w:r w:rsidR="004D081D" w:rsidRPr="004D081D">
        <w:rPr>
          <w:b/>
        </w:rPr>
        <w:t xml:space="preserve"> Resources adjacent to the legacy PUCCH region at both sides of the bandwidth </w:t>
      </w:r>
      <w:r>
        <w:rPr>
          <w:b/>
        </w:rPr>
        <w:t>can be</w:t>
      </w:r>
      <w:r w:rsidR="004D081D" w:rsidRPr="004D081D">
        <w:rPr>
          <w:b/>
        </w:rPr>
        <w:t xml:space="preserve"> reserved for sPUCCH transmission.</w:t>
      </w:r>
      <w:r>
        <w:rPr>
          <w:b/>
        </w:rPr>
        <w:t xml:space="preserve"> </w:t>
      </w:r>
    </w:p>
    <w:p w14:paraId="269AE37E" w14:textId="3A7DD6D5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>: For 2-symbol and 1-slot operations, two separate sPUCCH regions should be configured.</w:t>
      </w:r>
    </w:p>
    <w:p w14:paraId="7BD9FA24" w14:textId="1B22E6E2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2</w:t>
      </w:r>
      <w:r w:rsidRPr="004D081D">
        <w:rPr>
          <w:b/>
        </w:rPr>
        <w:t xml:space="preserve">: For each sTTI, separate resources are assigned to the PUCCH format carrying small payload sizes and large payload sizes. </w:t>
      </w:r>
    </w:p>
    <w:p w14:paraId="4797B149" w14:textId="5D839F93" w:rsidR="00F341BB" w:rsidRDefault="004D081D" w:rsidP="00E604CF">
      <w:pPr>
        <w:jc w:val="both"/>
      </w:pPr>
      <w:r>
        <w:t xml:space="preserve">As mentioned before, in the legacy LTE, non-overlapping resources are assigned to </w:t>
      </w:r>
      <w:r w:rsidR="00892E7A">
        <w:t xml:space="preserve">different PUCCH formats. This </w:t>
      </w:r>
      <w:r w:rsidR="00D45BDE">
        <w:t>is</w:t>
      </w:r>
      <w:r>
        <w:t xml:space="preserve"> done </w:t>
      </w:r>
      <w:r w:rsidR="00F66D02">
        <w:t xml:space="preserve">as follows: PUCCH format 2 resources </w:t>
      </w:r>
      <w:r w:rsidR="00892E7A">
        <w:t>can be</w:t>
      </w:r>
      <w:r w:rsidR="00F66D02">
        <w:t xml:space="preserve"> located at the two edges of the bandwidth. For PUCCH format 1a/1b, the PUCCH resource is obtained based on the CCE index as well as a PUCCH offset provided via a higher layer signaling. For PUCCH format 3/4/5, four resource values are configured via a higher layer signaling. Then, </w:t>
      </w:r>
      <w:r w:rsidR="002C27AB">
        <w:t xml:space="preserve">the TPC field in the DL DCI </w:t>
      </w:r>
      <w:r w:rsidR="00B809F2">
        <w:t>determines one of the PUCCH resource values.</w:t>
      </w:r>
      <w:r w:rsidR="00F66D02">
        <w:t xml:space="preserve">   </w:t>
      </w:r>
    </w:p>
    <w:p w14:paraId="6259DB7B" w14:textId="7E97CC3E" w:rsidR="00A637AF" w:rsidRDefault="00B809F2" w:rsidP="00FD6840">
      <w:pPr>
        <w:jc w:val="both"/>
      </w:pPr>
      <w:r>
        <w:t>The same approach can be adopted for sTTI operation. In essence for sPUCCH formats carrying small payload sizes, an implicit approach similar to the one taken for PUCCH format 1a/1b can be considered. In this case, two different offsets should be defined to guarantee that the sPUCCH resources associated with the 2-symbol and 1-slot operations are separated.</w:t>
      </w:r>
    </w:p>
    <w:p w14:paraId="045415AB" w14:textId="2693F697" w:rsidR="00F342F5" w:rsidRDefault="00F342F5" w:rsidP="00FD6840">
      <w:pPr>
        <w:jc w:val="both"/>
      </w:pPr>
      <w:r>
        <w:t>In addition, for sPUCCH formats conveying a large payload, similar to the legacy PUCCH form</w:t>
      </w:r>
      <w:r w:rsidR="00EF3BF2">
        <w:t>a</w:t>
      </w:r>
      <w:r>
        <w:t>t 3/4/5, some resources can be defined by a higher layer signaling, and one is indicated to the users via the DCI.</w:t>
      </w:r>
    </w:p>
    <w:p w14:paraId="145FC680" w14:textId="137FE325" w:rsidR="00F342F5" w:rsidRPr="00EF3BF2" w:rsidRDefault="00EF3BF2" w:rsidP="00FD6840">
      <w:pPr>
        <w:jc w:val="both"/>
        <w:rPr>
          <w:b/>
        </w:rPr>
      </w:pPr>
      <w:r w:rsidRPr="00EF3BF2">
        <w:rPr>
          <w:b/>
        </w:rPr>
        <w:t xml:space="preserve">Proposal </w:t>
      </w:r>
      <w:r w:rsidR="00892E7A">
        <w:rPr>
          <w:b/>
        </w:rPr>
        <w:t>3</w:t>
      </w:r>
      <w:r w:rsidRPr="00EF3BF2">
        <w:rPr>
          <w:b/>
        </w:rPr>
        <w:t>: Adopt the legacy PUCCH resource assignment scheme for the sTTI operation.</w:t>
      </w:r>
    </w:p>
    <w:p w14:paraId="1567C777" w14:textId="3CF94A90" w:rsidR="00EF3BF2" w:rsidRDefault="00892E7A" w:rsidP="00FD6840">
      <w:pPr>
        <w:jc w:val="both"/>
        <w:rPr>
          <w:b/>
        </w:rPr>
      </w:pPr>
      <w:r>
        <w:rPr>
          <w:b/>
        </w:rPr>
        <w:t>Proposal 4</w:t>
      </w:r>
      <w:r w:rsidR="00EF3BF2" w:rsidRPr="00EF3BF2">
        <w:rPr>
          <w:b/>
        </w:rPr>
        <w:t xml:space="preserve">:  </w:t>
      </w:r>
      <w:r w:rsidR="008075DD">
        <w:rPr>
          <w:b/>
        </w:rPr>
        <w:t xml:space="preserve">Consider defining sPUCCH resource offsets to separate the resources assigned for different sTTI lengths as well as different sPUCCH formats. </w:t>
      </w:r>
    </w:p>
    <w:p w14:paraId="2F77E7C7" w14:textId="354EF2EB" w:rsidR="00491EEE" w:rsidRDefault="00381DD6" w:rsidP="00843B71">
      <w:pPr>
        <w:pStyle w:val="Heading1"/>
        <w:jc w:val="both"/>
      </w:pPr>
      <w:r>
        <w:lastRenderedPageBreak/>
        <w:t>3</w:t>
      </w:r>
      <w:r w:rsidR="00491EEE" w:rsidRPr="00E05A22">
        <w:tab/>
        <w:t xml:space="preserve">Conclusions </w:t>
      </w:r>
    </w:p>
    <w:p w14:paraId="0FCF3E7B" w14:textId="1C9CA517" w:rsidR="00892E7A" w:rsidRPr="00892E7A" w:rsidRDefault="00892E7A" w:rsidP="00892E7A">
      <w:pPr>
        <w:rPr>
          <w:lang w:val="en-GB"/>
        </w:rPr>
      </w:pPr>
      <w:r>
        <w:rPr>
          <w:lang w:val="en-GB"/>
        </w:rPr>
        <w:t>In this contribution, we discussed some aspects related to sPUCCH resource management, and made the following observation and conclusions:</w:t>
      </w:r>
    </w:p>
    <w:p w14:paraId="2BB79533" w14:textId="33708A0B" w:rsidR="00892E7A" w:rsidRDefault="00892E7A" w:rsidP="004D081D">
      <w:pPr>
        <w:jc w:val="both"/>
        <w:rPr>
          <w:b/>
        </w:rPr>
      </w:pPr>
      <w:r>
        <w:rPr>
          <w:b/>
        </w:rPr>
        <w:t>Observation</w:t>
      </w:r>
      <w:r w:rsidR="004D081D" w:rsidRPr="004D081D">
        <w:rPr>
          <w:b/>
        </w:rPr>
        <w:t>: Resources adjacent to the legacy PUCCH region at</w:t>
      </w:r>
      <w:r>
        <w:rPr>
          <w:b/>
        </w:rPr>
        <w:t xml:space="preserve"> both sides of the bandwidth can be</w:t>
      </w:r>
      <w:r w:rsidR="004D081D" w:rsidRPr="004D081D">
        <w:rPr>
          <w:b/>
        </w:rPr>
        <w:t xml:space="preserve"> reserved for sPUCCH transmission.</w:t>
      </w:r>
      <w:r w:rsidRPr="00892E7A">
        <w:rPr>
          <w:b/>
        </w:rPr>
        <w:t xml:space="preserve"> </w:t>
      </w:r>
    </w:p>
    <w:p w14:paraId="33E116DD" w14:textId="5F0FAA0A" w:rsidR="004D081D" w:rsidRPr="004D081D" w:rsidRDefault="004D081D" w:rsidP="004D081D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>: For 2-symbol and 1-slot operations, two separate sPUCCH regions should be configured.</w:t>
      </w:r>
    </w:p>
    <w:p w14:paraId="076C3E28" w14:textId="1F02ACF6" w:rsidR="004D081D" w:rsidRPr="004D081D" w:rsidRDefault="00892E7A" w:rsidP="004D081D">
      <w:pPr>
        <w:jc w:val="both"/>
        <w:rPr>
          <w:b/>
        </w:rPr>
      </w:pPr>
      <w:r>
        <w:rPr>
          <w:b/>
        </w:rPr>
        <w:t>Proposal 2</w:t>
      </w:r>
      <w:r w:rsidR="004D081D" w:rsidRPr="004D081D">
        <w:rPr>
          <w:b/>
        </w:rPr>
        <w:t xml:space="preserve">: For each sTTI, separate resources are assigned to the PUCCH format carrying small payload sizes and large payload sizes. </w:t>
      </w:r>
    </w:p>
    <w:p w14:paraId="7ADD2E1A" w14:textId="7FFF30FB" w:rsidR="00EF3BF2" w:rsidRPr="00EF3BF2" w:rsidRDefault="00892E7A" w:rsidP="00EF3BF2">
      <w:pPr>
        <w:jc w:val="both"/>
        <w:rPr>
          <w:b/>
        </w:rPr>
      </w:pPr>
      <w:r>
        <w:rPr>
          <w:b/>
        </w:rPr>
        <w:t>Proposal 3</w:t>
      </w:r>
      <w:r w:rsidR="00EF3BF2" w:rsidRPr="00EF3BF2">
        <w:rPr>
          <w:b/>
        </w:rPr>
        <w:t>: Adopt the legacy PUCCH resource assignment scheme for the sTTI operation.</w:t>
      </w:r>
    </w:p>
    <w:p w14:paraId="0117461B" w14:textId="6B60A334" w:rsidR="00C77113" w:rsidRPr="00FD3822" w:rsidRDefault="00892E7A" w:rsidP="00CB7310">
      <w:pPr>
        <w:jc w:val="both"/>
      </w:pPr>
      <w:r>
        <w:rPr>
          <w:b/>
        </w:rPr>
        <w:t>Proposal 4</w:t>
      </w:r>
      <w:r w:rsidR="008075DD" w:rsidRPr="00EF3BF2">
        <w:rPr>
          <w:b/>
        </w:rPr>
        <w:t xml:space="preserve">: </w:t>
      </w:r>
      <w:r w:rsidR="008075DD">
        <w:rPr>
          <w:b/>
        </w:rPr>
        <w:t xml:space="preserve">Consider defining sPUCCH resource offsets to separate the resources assigned for different sTTI lengths as well as different sPUCCH formats. </w:t>
      </w:r>
    </w:p>
    <w:sectPr w:rsidR="00C77113" w:rsidRPr="00FD382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16D90" w14:textId="77777777" w:rsidR="00383DA8" w:rsidRDefault="00383DA8">
      <w:r>
        <w:separator/>
      </w:r>
    </w:p>
  </w:endnote>
  <w:endnote w:type="continuationSeparator" w:id="0">
    <w:p w14:paraId="6FD8BB65" w14:textId="77777777" w:rsidR="00383DA8" w:rsidRDefault="00383DA8">
      <w:r>
        <w:continuationSeparator/>
      </w:r>
    </w:p>
  </w:endnote>
  <w:endnote w:type="continuationNotice" w:id="1">
    <w:p w14:paraId="785FDEF0" w14:textId="77777777" w:rsidR="00383DA8" w:rsidRDefault="00383D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4CCCF772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731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731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16753" w14:textId="77777777" w:rsidR="00383DA8" w:rsidRDefault="00383DA8">
      <w:r>
        <w:separator/>
      </w:r>
    </w:p>
  </w:footnote>
  <w:footnote w:type="continuationSeparator" w:id="0">
    <w:p w14:paraId="51ADA31E" w14:textId="77777777" w:rsidR="00383DA8" w:rsidRDefault="00383DA8">
      <w:r>
        <w:continuationSeparator/>
      </w:r>
    </w:p>
  </w:footnote>
  <w:footnote w:type="continuationNotice" w:id="1">
    <w:p w14:paraId="720A04A6" w14:textId="77777777" w:rsidR="00383DA8" w:rsidRDefault="00383D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15.75pt;height:15.75pt" o:bullet="t">
        <v:imagedata r:id="rId1" o:title="art6288"/>
      </v:shape>
    </w:pict>
  </w:numPicBullet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6778"/>
    <w:multiLevelType w:val="hybridMultilevel"/>
    <w:tmpl w:val="65A252BE"/>
    <w:lvl w:ilvl="0" w:tplc="B8E25C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2082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ECDF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EC2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CC3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6E39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8CAA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B0B8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097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476A0B"/>
    <w:multiLevelType w:val="hybridMultilevel"/>
    <w:tmpl w:val="EAFC4F2E"/>
    <w:lvl w:ilvl="0" w:tplc="F2A665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CE25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C98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42B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462B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A8CD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9EE6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0EC1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408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405E"/>
    <w:multiLevelType w:val="hybridMultilevel"/>
    <w:tmpl w:val="23AE359A"/>
    <w:lvl w:ilvl="0" w:tplc="BAC6D5D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769CAE3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1A84C1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EE40AE26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75EC060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44961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DA4C6A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1AAE019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E4E23AB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42481"/>
    <w:multiLevelType w:val="hybridMultilevel"/>
    <w:tmpl w:val="50E832E4"/>
    <w:lvl w:ilvl="0" w:tplc="BA3640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004E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606D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2B4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97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450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30A1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485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F0E2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97348"/>
    <w:multiLevelType w:val="hybridMultilevel"/>
    <w:tmpl w:val="AA1EE9DC"/>
    <w:lvl w:ilvl="0" w:tplc="55180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1AEA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6E2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C17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4C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9AF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52E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6A7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4FE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5632045"/>
    <w:multiLevelType w:val="hybridMultilevel"/>
    <w:tmpl w:val="61C8B062"/>
    <w:lvl w:ilvl="0" w:tplc="134EE7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F607F6">
      <w:start w:val="6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416F6EA">
      <w:start w:val="65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CA41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4BC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F2F5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82B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4A2B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490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36F45"/>
    <w:multiLevelType w:val="hybridMultilevel"/>
    <w:tmpl w:val="0FCC4038"/>
    <w:lvl w:ilvl="0" w:tplc="F7F061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A2B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361D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EEF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0EA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94AE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D8F8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22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E009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A097B"/>
    <w:multiLevelType w:val="hybridMultilevel"/>
    <w:tmpl w:val="EBD27538"/>
    <w:lvl w:ilvl="0" w:tplc="69B48D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4CC6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E03B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679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C2CF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0F6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D0CB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EED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AC4F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7D2FA4"/>
    <w:multiLevelType w:val="hybridMultilevel"/>
    <w:tmpl w:val="BA58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442E8"/>
    <w:multiLevelType w:val="hybridMultilevel"/>
    <w:tmpl w:val="E9E0D51E"/>
    <w:lvl w:ilvl="0" w:tplc="6E38CB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0C51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668D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BA7F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A6B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AEDD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16D7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5C54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8E75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4"/>
  </w:num>
  <w:num w:numId="4">
    <w:abstractNumId w:val="6"/>
  </w:num>
  <w:num w:numId="5">
    <w:abstractNumId w:val="12"/>
  </w:num>
  <w:num w:numId="6">
    <w:abstractNumId w:val="40"/>
  </w:num>
  <w:num w:numId="7">
    <w:abstractNumId w:val="19"/>
  </w:num>
  <w:num w:numId="8">
    <w:abstractNumId w:val="20"/>
  </w:num>
  <w:num w:numId="9">
    <w:abstractNumId w:val="18"/>
  </w:num>
  <w:num w:numId="10">
    <w:abstractNumId w:val="31"/>
  </w:num>
  <w:num w:numId="11">
    <w:abstractNumId w:val="8"/>
  </w:num>
  <w:num w:numId="12">
    <w:abstractNumId w:val="13"/>
  </w:num>
  <w:num w:numId="13">
    <w:abstractNumId w:val="11"/>
  </w:num>
  <w:num w:numId="14">
    <w:abstractNumId w:val="10"/>
  </w:num>
  <w:num w:numId="15">
    <w:abstractNumId w:val="34"/>
  </w:num>
  <w:num w:numId="16">
    <w:abstractNumId w:val="45"/>
  </w:num>
  <w:num w:numId="17">
    <w:abstractNumId w:val="21"/>
  </w:num>
  <w:num w:numId="18">
    <w:abstractNumId w:val="33"/>
  </w:num>
  <w:num w:numId="19">
    <w:abstractNumId w:val="44"/>
  </w:num>
  <w:num w:numId="20">
    <w:abstractNumId w:val="25"/>
  </w:num>
  <w:num w:numId="21">
    <w:abstractNumId w:val="35"/>
  </w:num>
  <w:num w:numId="22">
    <w:abstractNumId w:val="41"/>
  </w:num>
  <w:num w:numId="23">
    <w:abstractNumId w:val="14"/>
  </w:num>
  <w:num w:numId="24">
    <w:abstractNumId w:val="23"/>
  </w:num>
  <w:num w:numId="25">
    <w:abstractNumId w:val="5"/>
  </w:num>
  <w:num w:numId="26">
    <w:abstractNumId w:val="39"/>
  </w:num>
  <w:num w:numId="27">
    <w:abstractNumId w:val="15"/>
  </w:num>
  <w:num w:numId="28">
    <w:abstractNumId w:val="38"/>
  </w:num>
  <w:num w:numId="29">
    <w:abstractNumId w:val="42"/>
  </w:num>
  <w:num w:numId="30">
    <w:abstractNumId w:val="2"/>
  </w:num>
  <w:num w:numId="31">
    <w:abstractNumId w:val="16"/>
  </w:num>
  <w:num w:numId="32">
    <w:abstractNumId w:val="1"/>
  </w:num>
  <w:num w:numId="33">
    <w:abstractNumId w:val="29"/>
  </w:num>
  <w:num w:numId="34">
    <w:abstractNumId w:val="28"/>
  </w:num>
  <w:num w:numId="35">
    <w:abstractNumId w:val="32"/>
  </w:num>
  <w:num w:numId="36">
    <w:abstractNumId w:val="0"/>
  </w:num>
  <w:num w:numId="37">
    <w:abstractNumId w:val="9"/>
  </w:num>
  <w:num w:numId="38">
    <w:abstractNumId w:val="27"/>
  </w:num>
  <w:num w:numId="39">
    <w:abstractNumId w:val="30"/>
  </w:num>
  <w:num w:numId="40">
    <w:abstractNumId w:val="4"/>
  </w:num>
  <w:num w:numId="41">
    <w:abstractNumId w:val="36"/>
  </w:num>
  <w:num w:numId="42">
    <w:abstractNumId w:val="37"/>
  </w:num>
  <w:num w:numId="43">
    <w:abstractNumId w:val="22"/>
  </w:num>
  <w:num w:numId="44">
    <w:abstractNumId w:val="43"/>
  </w:num>
  <w:num w:numId="45">
    <w:abstractNumId w:val="26"/>
  </w:num>
  <w:num w:numId="4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56C3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37F5"/>
    <w:rsid w:val="002A52CA"/>
    <w:rsid w:val="002A53DF"/>
    <w:rsid w:val="002B03CD"/>
    <w:rsid w:val="002B07BF"/>
    <w:rsid w:val="002B0805"/>
    <w:rsid w:val="002B09B2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7AB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27A41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1DD6"/>
    <w:rsid w:val="003821E7"/>
    <w:rsid w:val="00382B96"/>
    <w:rsid w:val="00383130"/>
    <w:rsid w:val="00383D4B"/>
    <w:rsid w:val="00383DA8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4F0F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81D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BA3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879CB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42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1E06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14F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5DD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2C2B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2E7A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3F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064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5A8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54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042D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3A1D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0D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2E2D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3A1"/>
    <w:rsid w:val="00B8041E"/>
    <w:rsid w:val="00B809F2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A2D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310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356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BDE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6D32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1FA3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1BAA"/>
    <w:rsid w:val="00DE21CF"/>
    <w:rsid w:val="00DE273A"/>
    <w:rsid w:val="00DE3E7C"/>
    <w:rsid w:val="00DE4664"/>
    <w:rsid w:val="00DE5335"/>
    <w:rsid w:val="00DE5BEC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A6"/>
    <w:rsid w:val="00E85483"/>
    <w:rsid w:val="00E85515"/>
    <w:rsid w:val="00E8554D"/>
    <w:rsid w:val="00E85D85"/>
    <w:rsid w:val="00E85FB9"/>
    <w:rsid w:val="00E86072"/>
    <w:rsid w:val="00E86752"/>
    <w:rsid w:val="00E86D0D"/>
    <w:rsid w:val="00E87137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BF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5B05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1BB"/>
    <w:rsid w:val="00F342F5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CA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6D02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3D3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45CD"/>
    <w:rsid w:val="00FD4CC0"/>
    <w:rsid w:val="00FD5AFC"/>
    <w:rsid w:val="00FD618D"/>
    <w:rsid w:val="00FD6840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8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40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868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88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HR33RHYHUWRF-4-1715</_dlc_DocId>
    <_dlc_DocIdUrl xmlns="c06861ca-3f08-4d07-bff7-bb15bac121f4">
      <Url>https://projects.qualcomm.com/sites/pentari/_layouts/15/DocIdRedir.aspx?ID=HR33RHYHUWRF-4-1715</Url>
      <Description>HR33RHYHUWRF-4-1715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7EF83356-6782-49A6-9FE8-D83F0E79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A343192-9E83-4B76-A216-358E2D10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2</cp:revision>
  <cp:lastPrinted>2016-08-10T22:23:00Z</cp:lastPrinted>
  <dcterms:created xsi:type="dcterms:W3CDTF">2017-08-11T21:48:00Z</dcterms:created>
  <dcterms:modified xsi:type="dcterms:W3CDTF">2017-08-11T21:48:00Z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150ee519-9e62-48cc-8da3-c9cbe161cfbd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